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6F5" w:rsidRPr="003B26F5" w:rsidRDefault="003B26F5" w:rsidP="003B26F5">
      <w:pPr>
        <w:jc w:val="right"/>
        <w:rPr>
          <w:rFonts w:ascii="Times New Roman" w:eastAsia="Times New Roman" w:hAnsi="Times New Roman" w:cs="Times New Roman"/>
          <w:i/>
          <w:color w:val="000000"/>
          <w:sz w:val="20"/>
          <w:szCs w:val="20"/>
        </w:rPr>
      </w:pPr>
      <w:bookmarkStart w:id="0" w:name="_GoBack"/>
      <w:bookmarkEnd w:id="0"/>
      <w:r w:rsidRPr="003B26F5">
        <w:rPr>
          <w:rFonts w:ascii="Times New Roman" w:eastAsia="Times New Roman" w:hAnsi="Times New Roman" w:cs="Times New Roman"/>
          <w:i/>
          <w:color w:val="000000"/>
          <w:sz w:val="20"/>
          <w:szCs w:val="20"/>
        </w:rPr>
        <w:t>Приложение 2 к тендерной документации</w:t>
      </w: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3B26F5" w:rsidRDefault="003B26F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1) Товар должен быть зарегистрирован в Республике Казахстан и готов к применению в соответствии с Кодексом Республики Казахстан от 18 сентября 2009 года «О здоровье народа и системе здравоохранения» №193-IV (далее – Кодекс) и порядком государственной регистрации, установленным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2) Товары, требующие хранения при низких температурах и защиты от замораживания, должны хранится и перевозится в специальных емкостях для обеспечения сохранности от пункта до пункта конечного назначения, а также обеспечения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3) Маркировка, потребительская упаковка и инструкция по применению Товаров должны соответствовать требованиям Кодекса и порядку, установленному уполномоченным органом в области здравоохранения;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4) Остаточный срок годности Товаров должен составлять не менее пятидесяти процентов от указанного срока годности на упаковке (при сроке годности менее двух лет), а также не менее двенадцати месяцев от указанного срока годности на упаковке (при сроке годности два года и более);</w:t>
      </w:r>
    </w:p>
    <w:p w:rsidR="00704FDF"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5) Наличие разрешения, подтверж</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(правоспособность Поставщика).</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color w:val="000000"/>
          <w:sz w:val="20"/>
          <w:szCs w:val="20"/>
        </w:rPr>
        <w:t>6)  Лекарственные средства или медицинские изделия не должны превышать предельных цен по международному непатентованному названию и (или) торговому наименованию утвержденных в порядке, определенным уполномоченным органом в области здравоохранения в соответствии с правилами регулирования цен на лекарственные средства,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w:t>
      </w:r>
    </w:p>
    <w:p w:rsidR="00256FA5" w:rsidRPr="003B26F5" w:rsidRDefault="00256FA5" w:rsidP="00256FA5">
      <w:pPr>
        <w:autoSpaceDE w:val="0"/>
        <w:autoSpaceDN w:val="0"/>
        <w:spacing w:after="0" w:line="240" w:lineRule="auto"/>
        <w:ind w:firstLine="400"/>
        <w:contextualSpacing/>
        <w:mirrorIndents/>
        <w:jc w:val="both"/>
        <w:rPr>
          <w:rFonts w:ascii="Times New Roman" w:eastAsia="Times New Roman" w:hAnsi="Times New Roman" w:cs="Times New Roman"/>
          <w:color w:val="000000"/>
          <w:sz w:val="20"/>
          <w:szCs w:val="20"/>
        </w:rPr>
      </w:pPr>
      <w:r w:rsidRPr="003B26F5">
        <w:rPr>
          <w:rFonts w:ascii="Times New Roman" w:eastAsia="Times New Roman" w:hAnsi="Times New Roman" w:cs="Times New Roman"/>
          <w:b/>
          <w:bCs/>
          <w:color w:val="000000"/>
          <w:sz w:val="20"/>
          <w:szCs w:val="20"/>
        </w:rPr>
        <w:t>Сопутствующие услуги:</w:t>
      </w:r>
      <w:r w:rsidRPr="003B26F5">
        <w:rPr>
          <w:rFonts w:ascii="Times New Roman" w:eastAsia="Times New Roman" w:hAnsi="Times New Roman" w:cs="Times New Roman"/>
          <w:color w:val="000000"/>
          <w:sz w:val="20"/>
          <w:szCs w:val="20"/>
        </w:rPr>
        <w:t xml:space="preserve"> доставка, разгрузка товара на склад Заказчика, обучение персонала по правильному использованию (в случае необходимости).</w:t>
      </w:r>
    </w:p>
    <w:p w:rsid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3B26F5" w:rsidRPr="003B26F5" w:rsidRDefault="003B26F5" w:rsidP="00725373">
      <w:pPr>
        <w:autoSpaceDE w:val="0"/>
        <w:autoSpaceDN w:val="0"/>
        <w:spacing w:after="0" w:line="240" w:lineRule="auto"/>
        <w:ind w:firstLine="400"/>
        <w:contextualSpacing/>
        <w:mirrorIndents/>
        <w:jc w:val="both"/>
        <w:rPr>
          <w:rFonts w:ascii="Times New Roman" w:hAnsi="Times New Roman"/>
          <w:sz w:val="20"/>
          <w:szCs w:val="20"/>
        </w:rPr>
      </w:pPr>
    </w:p>
    <w:p w:rsidR="000A7362" w:rsidRPr="003B26F5" w:rsidRDefault="000A7362" w:rsidP="00725373">
      <w:pPr>
        <w:autoSpaceDE w:val="0"/>
        <w:autoSpaceDN w:val="0"/>
        <w:spacing w:after="0" w:line="240" w:lineRule="auto"/>
        <w:ind w:firstLine="400"/>
        <w:contextualSpacing/>
        <w:mirrorIndents/>
        <w:jc w:val="both"/>
        <w:rPr>
          <w:rFonts w:ascii="Times New Roman" w:hAnsi="Times New Roman"/>
          <w:sz w:val="20"/>
          <w:szCs w:val="20"/>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827"/>
        <w:gridCol w:w="10788"/>
      </w:tblGrid>
      <w:tr w:rsidR="00687590" w:rsidRPr="006D485E" w:rsidTr="00465B39">
        <w:trPr>
          <w:trHeight w:val="170"/>
        </w:trPr>
        <w:tc>
          <w:tcPr>
            <w:tcW w:w="852"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 лота</w:t>
            </w:r>
          </w:p>
        </w:tc>
        <w:tc>
          <w:tcPr>
            <w:tcW w:w="3827"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Наименование товара</w:t>
            </w:r>
          </w:p>
        </w:tc>
        <w:tc>
          <w:tcPr>
            <w:tcW w:w="10788" w:type="dxa"/>
            <w:shd w:val="clear" w:color="auto" w:fill="auto"/>
            <w:vAlign w:val="center"/>
            <w:hideMark/>
          </w:tcPr>
          <w:p w:rsidR="005316B5" w:rsidRPr="006D485E" w:rsidRDefault="005316B5" w:rsidP="00256FA5">
            <w:pPr>
              <w:spacing w:after="0" w:line="240" w:lineRule="auto"/>
              <w:jc w:val="center"/>
              <w:rPr>
                <w:rFonts w:ascii="Times New Roman" w:eastAsia="Times New Roman" w:hAnsi="Times New Roman" w:cs="Times New Roman"/>
                <w:b/>
                <w:bCs/>
                <w:color w:val="000000"/>
                <w:sz w:val="18"/>
                <w:szCs w:val="18"/>
                <w:lang w:eastAsia="ru-RU"/>
              </w:rPr>
            </w:pPr>
            <w:r w:rsidRPr="006D485E">
              <w:rPr>
                <w:rFonts w:ascii="Times New Roman" w:eastAsia="Times New Roman" w:hAnsi="Times New Roman" w:cs="Times New Roman"/>
                <w:b/>
                <w:bCs/>
                <w:color w:val="000000"/>
                <w:sz w:val="18"/>
                <w:szCs w:val="18"/>
                <w:lang w:eastAsia="ru-RU"/>
              </w:rPr>
              <w:t>Полная характеристика (описание) товара</w:t>
            </w:r>
          </w:p>
        </w:tc>
      </w:tr>
      <w:tr w:rsidR="00D70D67" w:rsidRPr="006D485E" w:rsidTr="0026046E">
        <w:trPr>
          <w:trHeight w:val="170"/>
        </w:trPr>
        <w:tc>
          <w:tcPr>
            <w:tcW w:w="852" w:type="dxa"/>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Катетер картирующий </w:t>
            </w:r>
          </w:p>
        </w:tc>
        <w:tc>
          <w:tcPr>
            <w:tcW w:w="10788" w:type="dxa"/>
            <w:shd w:val="clear" w:color="auto" w:fill="auto"/>
          </w:tcPr>
          <w:p w:rsidR="00D70D67" w:rsidRPr="00D70D67" w:rsidRDefault="00D70D67" w:rsidP="00D70D67">
            <w:pPr>
              <w:pStyle w:val="ab"/>
              <w:rPr>
                <w:rFonts w:ascii="Times New Roman" w:hAnsi="Times New Roman" w:cs="Times New Roman"/>
                <w:color w:val="000000"/>
                <w:sz w:val="18"/>
                <w:szCs w:val="18"/>
                <w:shd w:val="clear" w:color="auto" w:fill="FFFFFF"/>
              </w:rPr>
            </w:pPr>
            <w:r w:rsidRPr="00D70D67">
              <w:rPr>
                <w:rFonts w:ascii="Times New Roman" w:hAnsi="Times New Roman" w:cs="Times New Roman"/>
                <w:color w:val="000000"/>
                <w:sz w:val="18"/>
                <w:szCs w:val="18"/>
                <w:shd w:val="clear" w:color="auto" w:fill="FFFFFF"/>
              </w:rPr>
              <w:t xml:space="preserve">Картирующий катетер с высоким разрешением PENTARAY </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shd w:val="clear" w:color="auto" w:fill="FFFFFF"/>
              </w:rPr>
              <w:t>диаметром 7F, длиной 115 см, с изгибом F, D</w:t>
            </w:r>
            <w:r w:rsidRPr="00D70D67">
              <w:rPr>
                <w:rFonts w:ascii="Times New Roman" w:hAnsi="Times New Roman" w:cs="Times New Roman"/>
                <w:color w:val="000000"/>
                <w:sz w:val="18"/>
                <w:szCs w:val="18"/>
              </w:rPr>
              <w:t xml:space="preserve"> </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Возможность управления электродом в одной плоскости</w:t>
            </w:r>
            <w:r w:rsidRPr="00D70D67">
              <w:rPr>
                <w:rFonts w:ascii="Times New Roman" w:hAnsi="Times New Roman" w:cs="Times New Roman"/>
                <w:color w:val="000000"/>
                <w:sz w:val="18"/>
                <w:szCs w:val="18"/>
              </w:rPr>
              <w:tab/>
              <w:t>Соответствие</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Диаметр электрода</w:t>
            </w:r>
            <w:r w:rsidRPr="00D70D67">
              <w:rPr>
                <w:rFonts w:ascii="Times New Roman" w:hAnsi="Times New Roman" w:cs="Times New Roman"/>
                <w:color w:val="000000"/>
                <w:sz w:val="18"/>
                <w:szCs w:val="18"/>
              </w:rPr>
              <w:tab/>
              <w:t>Не более 7F</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Число электродов для регистрации внутрисердечных электрограмм</w:t>
            </w:r>
            <w:r w:rsidRPr="00D70D67">
              <w:rPr>
                <w:rFonts w:ascii="Times New Roman" w:hAnsi="Times New Roman" w:cs="Times New Roman"/>
                <w:color w:val="000000"/>
                <w:sz w:val="18"/>
                <w:szCs w:val="18"/>
              </w:rPr>
              <w:tab/>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Не менее 20 шт.</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Длина вводимой части катетера</w:t>
            </w:r>
            <w:r w:rsidRPr="00D70D67">
              <w:rPr>
                <w:rFonts w:ascii="Times New Roman" w:hAnsi="Times New Roman" w:cs="Times New Roman"/>
                <w:color w:val="000000"/>
                <w:sz w:val="18"/>
                <w:szCs w:val="18"/>
              </w:rPr>
              <w:tab/>
              <w:t>Не менее 115см</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 xml:space="preserve">Типы кривизны </w:t>
            </w:r>
            <w:r w:rsidRPr="00D70D67">
              <w:rPr>
                <w:rFonts w:ascii="Times New Roman" w:hAnsi="Times New Roman" w:cs="Times New Roman"/>
                <w:color w:val="000000"/>
                <w:sz w:val="18"/>
                <w:szCs w:val="18"/>
              </w:rPr>
              <w:tab/>
              <w:t>F, D</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Предел досягаемости для кривизн</w:t>
            </w:r>
            <w:r w:rsidRPr="00D70D67">
              <w:rPr>
                <w:rFonts w:ascii="Times New Roman" w:hAnsi="Times New Roman" w:cs="Times New Roman"/>
                <w:color w:val="000000"/>
                <w:sz w:val="18"/>
                <w:szCs w:val="18"/>
              </w:rPr>
              <w:tab/>
              <w:t>F – 76мм, D – 64мм</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Совместимость с различными ЭФИ системами</w:t>
            </w:r>
            <w:r w:rsidRPr="00D70D67">
              <w:rPr>
                <w:rFonts w:ascii="Times New Roman" w:hAnsi="Times New Roman" w:cs="Times New Roman"/>
                <w:color w:val="000000"/>
                <w:sz w:val="18"/>
                <w:szCs w:val="18"/>
              </w:rPr>
              <w:tab/>
              <w:t>Соответствие</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Расстояние между центрами электродов</w:t>
            </w:r>
            <w:r w:rsidRPr="00D70D67">
              <w:rPr>
                <w:rFonts w:ascii="Times New Roman" w:hAnsi="Times New Roman" w:cs="Times New Roman"/>
                <w:color w:val="000000"/>
                <w:sz w:val="18"/>
                <w:szCs w:val="18"/>
              </w:rPr>
              <w:tab/>
              <w:t>4-4-4 мм</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Ширина электрода</w:t>
            </w:r>
            <w:r w:rsidRPr="00D70D67">
              <w:rPr>
                <w:rFonts w:ascii="Times New Roman" w:hAnsi="Times New Roman" w:cs="Times New Roman"/>
                <w:color w:val="000000"/>
                <w:sz w:val="18"/>
                <w:szCs w:val="18"/>
              </w:rPr>
              <w:tab/>
              <w:t>Не более 1мм</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Число стержней на дистальном конце катетера</w:t>
            </w:r>
            <w:r w:rsidRPr="00D70D67">
              <w:rPr>
                <w:rFonts w:ascii="Times New Roman" w:hAnsi="Times New Roman" w:cs="Times New Roman"/>
                <w:color w:val="000000"/>
                <w:sz w:val="18"/>
                <w:szCs w:val="18"/>
              </w:rPr>
              <w:tab/>
              <w:t>Не менее 5 шт.</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Диаметр стержней на дистальном конце катетера</w:t>
            </w:r>
            <w:r w:rsidRPr="00D70D67">
              <w:rPr>
                <w:rFonts w:ascii="Times New Roman" w:hAnsi="Times New Roman" w:cs="Times New Roman"/>
                <w:color w:val="000000"/>
                <w:sz w:val="18"/>
                <w:szCs w:val="18"/>
              </w:rPr>
              <w:tab/>
              <w:t>Не более 3F</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Площадь картирования</w:t>
            </w:r>
            <w:r w:rsidRPr="00D70D67">
              <w:rPr>
                <w:rFonts w:ascii="Times New Roman" w:hAnsi="Times New Roman" w:cs="Times New Roman"/>
                <w:color w:val="000000"/>
                <w:sz w:val="18"/>
                <w:szCs w:val="18"/>
              </w:rPr>
              <w:tab/>
              <w:t>Не менее 7 см2</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Возможность одновременной регистрации биполярный и униполярных сигналов</w:t>
            </w:r>
            <w:r w:rsidRPr="00D70D67">
              <w:rPr>
                <w:rFonts w:ascii="Times New Roman" w:hAnsi="Times New Roman" w:cs="Times New Roman"/>
                <w:color w:val="000000"/>
                <w:sz w:val="18"/>
                <w:szCs w:val="18"/>
              </w:rPr>
              <w:tab/>
              <w:t>Соответствие</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Материал электродов</w:t>
            </w:r>
            <w:r w:rsidRPr="00D70D67">
              <w:rPr>
                <w:rFonts w:ascii="Times New Roman" w:hAnsi="Times New Roman" w:cs="Times New Roman"/>
                <w:color w:val="000000"/>
                <w:sz w:val="18"/>
                <w:szCs w:val="18"/>
              </w:rPr>
              <w:tab/>
              <w:t>Платиново-иридиевый сплав</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Материал вводимой части катетера</w:t>
            </w:r>
            <w:r w:rsidRPr="00D70D67">
              <w:rPr>
                <w:rFonts w:ascii="Times New Roman" w:hAnsi="Times New Roman" w:cs="Times New Roman"/>
                <w:color w:val="000000"/>
                <w:sz w:val="18"/>
                <w:szCs w:val="18"/>
              </w:rPr>
              <w:tab/>
              <w:t>Полиуретан</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Материал стержней на дистальной части электрода</w:t>
            </w:r>
            <w:r w:rsidRPr="00D70D67">
              <w:rPr>
                <w:rFonts w:ascii="Times New Roman" w:hAnsi="Times New Roman" w:cs="Times New Roman"/>
                <w:color w:val="000000"/>
                <w:sz w:val="18"/>
                <w:szCs w:val="18"/>
              </w:rPr>
              <w:tab/>
              <w:t>Нитинол</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Материал внутренних проводящих проводов</w:t>
            </w:r>
            <w:r w:rsidRPr="00D70D67">
              <w:rPr>
                <w:rFonts w:ascii="Times New Roman" w:hAnsi="Times New Roman" w:cs="Times New Roman"/>
                <w:color w:val="000000"/>
                <w:sz w:val="18"/>
                <w:szCs w:val="18"/>
              </w:rPr>
              <w:tab/>
              <w:t>медь</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Материал внутренних тяг</w:t>
            </w:r>
            <w:r w:rsidRPr="00D70D67">
              <w:rPr>
                <w:rFonts w:ascii="Times New Roman" w:hAnsi="Times New Roman" w:cs="Times New Roman"/>
                <w:color w:val="000000"/>
                <w:sz w:val="18"/>
                <w:szCs w:val="18"/>
              </w:rPr>
              <w:tab/>
              <w:t>Нитинол</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Компрессионная пружина на внутренней тяге</w:t>
            </w:r>
            <w:r w:rsidRPr="00D70D67">
              <w:rPr>
                <w:rFonts w:ascii="Times New Roman" w:hAnsi="Times New Roman" w:cs="Times New Roman"/>
                <w:color w:val="000000"/>
                <w:sz w:val="18"/>
                <w:szCs w:val="18"/>
              </w:rPr>
              <w:tab/>
              <w:t>Наличие</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lastRenderedPageBreak/>
              <w:t>Диаметр компрессионной пружины</w:t>
            </w:r>
            <w:r w:rsidRPr="00D70D67">
              <w:rPr>
                <w:rFonts w:ascii="Times New Roman" w:hAnsi="Times New Roman" w:cs="Times New Roman"/>
                <w:color w:val="000000"/>
                <w:sz w:val="18"/>
                <w:szCs w:val="18"/>
              </w:rPr>
              <w:tab/>
              <w:t>0,1 мм</w:t>
            </w:r>
          </w:p>
          <w:p w:rsidR="00D70D67" w:rsidRPr="00D70D67" w:rsidRDefault="00D70D67" w:rsidP="00D70D67">
            <w:pPr>
              <w:pStyle w:val="ab"/>
              <w:rPr>
                <w:rFonts w:ascii="Times New Roman" w:hAnsi="Times New Roman" w:cs="Times New Roman"/>
                <w:color w:val="000000"/>
                <w:sz w:val="18"/>
                <w:szCs w:val="18"/>
              </w:rPr>
            </w:pPr>
            <w:r w:rsidRPr="00D70D67">
              <w:rPr>
                <w:rFonts w:ascii="Times New Roman" w:hAnsi="Times New Roman" w:cs="Times New Roman"/>
                <w:color w:val="000000"/>
                <w:sz w:val="18"/>
                <w:szCs w:val="18"/>
              </w:rPr>
              <w:t>Плавность хода рабочей части катетера, отсутствие «скачков» и «мертвых зон» при перемещении рабочей части катетера</w:t>
            </w:r>
            <w:r w:rsidRPr="00D70D67">
              <w:rPr>
                <w:rFonts w:ascii="Times New Roman" w:hAnsi="Times New Roman" w:cs="Times New Roman"/>
                <w:color w:val="000000"/>
                <w:sz w:val="18"/>
                <w:szCs w:val="18"/>
              </w:rPr>
              <w:tab/>
              <w:t>Соответствие</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Катетер ультразвуковой </w:t>
            </w:r>
          </w:p>
        </w:tc>
        <w:tc>
          <w:tcPr>
            <w:tcW w:w="10788" w:type="dxa"/>
            <w:shd w:val="clear" w:color="auto" w:fill="auto"/>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Ультразвуковой катетер для внутрисердечной визуализации, размер 8 Fr, длина 110 см, совместимость с другими ультразвуковыми системами: Acuson P50, Cypress,X – 300, </w:t>
            </w:r>
            <w:r w:rsidRPr="00D70D67">
              <w:rPr>
                <w:rFonts w:ascii="Times New Roman" w:hAnsi="Times New Roman" w:cs="Times New Roman"/>
                <w:sz w:val="18"/>
                <w:szCs w:val="18"/>
                <w:lang w:val="en-US"/>
              </w:rPr>
              <w:t>Vivid</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Генератор электрохирургическийультразвуковой в комплекте</w:t>
            </w:r>
          </w:p>
        </w:tc>
        <w:tc>
          <w:tcPr>
            <w:tcW w:w="10788" w:type="dxa"/>
            <w:shd w:val="clear" w:color="auto" w:fill="auto"/>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Аппарат функционирует в двух режимах – биполярном и ультразвуковом. В ультразвуковом режиме аппарат функционирует без воздействия электротока на пациента, при помощи механических высокочастотных колебаний лезвия насадки с одновременной диссекцией тканей, коагуляцией сосудов до 5 мм в диаметре и до 7 мм (в режиме Усовершенствованного гемостаза). Частота колебаний лезвия в ультразвуковом режиме – 55,5 кГц. (*кроме насадки HARMONIC HD1000i - частота 50 кГц). В ультразвуковом режиме имеется 5 уровней изменения амплитуды движения рабочей насадки, с функцией ее регулировки. В режиме биполярной диссекции-коагуляции генератор работает с воздействием электротока на ткани, позволяя пересекать и коагулировать ткани, а также лигировать сосуды диаметром до 7 мм включительно. Имеется система оценки импеданса тканей для автоматического завершения цикла коагуляции и минимизации термического повреждения тканей. Поддержка биполярной коагуляции с автоматическим и полностью ручным завершением цикла коагуляции. Генератор обладает функцией автоматического распознавания подключенных насадок для минимизации потерь времени на их настройку. Совместимость со следующими типами рабочих насадок: ультразвуковые лезвия и ножницы, а также насадки биполярной коагуляции как для открытых, так и эндоскопических операций. Возможность ручной и педальной активации насадок. Все насадки могут применяться у пациентов с кардиостимуляторами. Возможность работы насадок вблизи жизненно важных структур с минимальным латеральным повреждением тканей, а также с возможностью разреза тканей обратной стороной рабочих насадок (в ультразвуковом режиме). Совместимость с биполярными насадками с ограничением температурного нагрева тканей не более 100С и возможностью коагуляции сосудов диаметром до 7 мм с возможностью разреза тканей. Наличие системы самотестирования генератора, ультразвуковой рукояти и насадок. Возможность принудительного тестирования генератора. Возможность тестирования при помощи тестового ключа в каждом из режимов работы (ультразвуковой, биполярный). Возможность обновления внутреннего программного обеспечения генератора. Наличие USB-разъема для проведения обновления и обслуживания генератора. Индикация количеств активации ультразвуковых рукоятей. Наличие на передней панели цветного дисплея с функцией распознавания прикосновения. Наличие на передней панели генератора визуальной индикации с отображением уровней мощности и возможностью регулировки уровней мощности. Возможность настройки генератора через пользовательское меню. Визуальная индикация ошибок и способов их устранения. Звуковая индикация режимов работы и ошибок с возможностью регулировки уровня громкости. Пользовательский интерфейс русифицирован. Защита разъемов от некорректного подключения штекеров. Наличие системы предотвращения случайного выпадения штекеров рукоятей и насадок из гнезда генератора. Возможность подключения адаптеров для работы ультразвуковыми и биполярными насадками подходящими к генераторам GEN04 и RF60. Возможность комплектования генератора специальной мобильной тележкой-подставкой с местом для хранения принадлежностей. Совместимость с ножным двухпедальным приводом с маркировкой соответствующего педали режима, имеющим защиту от деформации силового провода. Противоскользящее покрытие нижней поверхности ножного педального привода. Потребляемая мощность генератора 500 ВА, работа в сети переменного тока с напряжением 100-240 В, частота 50/60 Гц. Выходная мощность 135 Вт в биполярном режиме, 35 Вт в ультразвуковом режиме. Габариты генератора – 13,6х35,5х35,0 см. Масса генератора – 5,9 кг. Соответствие стандарту IEC 60601-2-2:2009 (Группа 1), отсутствие РЧ-наводок на окружающее электронное оборудование. Защита корпуса G11 от проникновения - IP21.</w:t>
            </w:r>
          </w:p>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Комплектация:</w:t>
            </w:r>
          </w:p>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Ножной привод для активации (педаль), принадлежность к генератору электрохирургическому ультразвуковому. Ножной привод с двумя маркированными педалями для активации насадок ультразвукового скальпеля в режимах максимальной и заданной минимальной мощности. Активация биполярных насадок. Механизм защиты соединительного провода от деформации, металлический штекер с цветовой маркировкой правильного положения для подключения. Резиновое покрытие нижней плоскости для предотвращения скольжения. Возможность активации режима тестирования генератора с педалей. Масса 3,6 кг. Габариты ножного привода: 34,2 см x 19,0 см x 10,4 см. Поставляется нестерильным (количество 1 шт.).</w:t>
            </w:r>
          </w:p>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Адаптер для насадок, принадлежность к генератору электрохирургическому ультразвуковому.  Адаптер служит для подключения ультразвуковых инструментов и насадок  (совместимых с генератором GEN04) к генератору – через лапаросонические рукоятки. Возможность фиксации адаптера - снабжен специальным стальным хомутиком для фиксации к генератору, во избежание утери адаптера (количество 1 шт.).</w:t>
            </w:r>
          </w:p>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Инструменты и насадки к ультразвуковому скальпелю , вариант исполнения: Лапаросоническая рукоятка для ручной активации.  Лапаросоническая рукоятка с пьезокерамическими элементами предназначена для преобразования электрических импульсов ультразвукового хирургического генератора в высокочастотные механические колебания с частотой 55,5 кГц и их передачи на лезвия инструментов-насадок ультразвукового скальпеля, которые при подобном воздействии совершают колебания в продольном направлении. Состоит из собственно рукоятки с резьбовым штоком для соединения с инструментами-насадками и гибкого изоляционного провода с прорезиненным штекером для соединения с разъемом на передней панели генератора. Цветовая метка на </w:t>
            </w:r>
            <w:r w:rsidRPr="00D70D67">
              <w:rPr>
                <w:rFonts w:ascii="Times New Roman" w:hAnsi="Times New Roman" w:cs="Times New Roman"/>
                <w:sz w:val="18"/>
                <w:szCs w:val="18"/>
              </w:rPr>
              <w:lastRenderedPageBreak/>
              <w:t>штекере для быстрой корректной ориентации в разъеме при подключении рукоятки к генератору. Наличие встроенного счетчика количества активаций (95 активаций). Возможность активации насадки, присоединенной к рукоятке, с помощью ручного триггера на насадке или съемного адаптера к рукояти для ручной активации насадок, с билатерально продублированными кнопками активации режима минимальной и максимальной мощности, а также при помощи ножного педального привода. Наличие функции тестирования состояния рукоятки с выводом кода ошибки на дисплее генератора и специфической звуковой индикации в случае неисправности рукоятки или некорректного соединения рукоятки с прибором или инструментом-насадкой. Может использоваться с насадками для открытой и эндоскопической хирургии. Комплектуется предохранительным колпачком для защиты резьбового штока. Поставляется нестерильной. Комплектуется 1 замком рабочей части и 1 проверочным наконечником для адекватного тестирования работоспособности рукоятки (количество 2 шт).</w:t>
            </w:r>
          </w:p>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Инструмент ультразвуковой для генератора электрохирургического ультразвукового : Ножницы с технологией адаптации к тканям для открытых и эндоскопических операций, длина ствола 36 см. Ножницы коагуляционные ультразвуковые с эргономичной пистолетной рукояткой для открытых и эндоскопических операций, с ручной активацией. Предназначены для одновременного рассечения и коагуляции тканей и сосудов диаметром до 5 мм. При отсутствии активации могут использоваться в качестве граспера, зажима. Частота колебания титанового лезвия ножниц в продольном направлении 55,5 кГц. Возможность активации насадки с помощью кнопок включения в минимальном и максимальном режимах мощности, расположенных на передней поверхности корпуса насадки для быстрого доступа, или с помощью ножного привода (педали). Корпус рукоятки имеет встроенный механизм тактильной и звуковой индикации полного сведени бранш. Наличие системы обратной связи с генератором и контроля температуры активного лезвия насадки, посредством генератора, для повышения эффективности и скорости работы инструментом, а так же снижения уровня латерального повреждения тканей. Наличие дополнительного звукового сигнала, оповещающего о начале повышения температуры активного лезвия, для более совершенного контроля качества гемостаза. Ствол с антибликым покрытием.  Длина ствола 36 см от конца активной бранши до кольца ротации. Диаметр ствола 5 мм. Ротация ствола на 360 градусов при помощи ротационного кольца, расположенного на стыке ствола и рукоятки насадки (для быстрого доступа при помощи одной руки) -  облегчает визуализацию и доступ к оперируемой ткани. Индикатор длины 5 мм на обеих боковых сторонах пассивной бранши. Наличие резьбового разъема для соединения с лапаросонической рукояткой. Пистолетная рукоятка сведения браншей. Наличие резиновых прокладок на внутренней стороне рукоятки сведения браншей, кнопках ручной активации и ротационном кольце, препятствующих скольжению и способствующих комфортному размещению руки хирурга. Рабочая часть состоит из активной (лезвие) и пассивной браншей. Активная бранша титановая, с покрытием для снижения степени налипания, изогнутая, для улучшения визуализации рабочего пространства, имеет в сечении шестигранную форму. Выпуклая и изогнутая поверхности, а также проксимальная часть активной бранши предназначены в основном для коагуляции тканей. Острые верхняя и нижняя грани, а также дистальная часть активной бранши (кончик) служат для рассечения тканей. Пассивная бранша имеет пластиковую накладку с насечками для эффективной работы с тканями.Длина активной бранши 15 мм. Ширина пассивной бранши 2,67 мм. Аппертура раскрытия бранш 11,35 мм. Комплектуются серым замком рабочей части. Предназначены для использования у одного пациента, не подлежат повторной стерилизации. Поставляются стерильными. Могут применяться у пациентов с кардиостимуляторами. Совместимы с генератором при помощи специального адаптера  насадок (количество 5 штук).</w:t>
            </w:r>
          </w:p>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Инструмент ультразвуковой для генератора электрохирургического ультразвукового: Ножницы  c функцией усовершенствованного гемостаза для открытых и эндоскопических операций, длина ствола 45 см. Ножницы коагуляционные ультразвуковые с эргономичной пистолетной рукояткой для открытых и эндоскопических операций, с ручной активацией. Предназначены для одновременного рассечения и коагуляции тканей и сосудов диаметром до 7 мм. При отсутствии активации могут использоваться в качестве граспера, диссектора. Частота колебания титанового лезвия ножниц в продольном направлении 55,5 кГц. Возможность активации насадки с помощью кнопок включения в минимальном и максимальном режимах мощности, в режиме усовершенствованного гемостаза, расположенных на передней  и боковой поверхности корпуса насадки для быстрого доступа, или с помощью ножного привода (педали) для минимального и максимального режимов мощности. Корпус рукоятки имеет встроенный механизм тактильной и звуковой индикации полного сведения браншей. Наличие системы обратной связи с генератором и контроля температуры активного лезвия насадки, посредством генератора, для повышения эффективности и скорости работы инструментом, а так же снижения уровня латерального повреждения тканей.  Наличие функции усовершенствованного гемостаза позволяет проводить коагуляцию сосудов до 7 мм в диаметре. Кнопка усовершенствованного гемостаза для удобства использования вынесена на боковую панель с обеих сторон корпуса и выделена зеленым цветом. Наличие дополнительного звукового сигнала, оповещающего о начале повышения температуры активного лезвия, для более совершенного контроля качества гемостаза. Ствол с антибликым покрытием.  Длина ствола 45 см от конца активной бранши до кольца ротации. Диаметр ствола 5 мм. Ротация ствола на 360 градусов осуществляется при помощи ротационного кольца, расположенного на стыке ствола и рукоятки насадки (для быстрого доступа при помощи одной руки) -  облегчает визуализацию и доступ к операционному полю. Индикатор длины 5 мм на обеих боковых сторонах пассивной бранши. Наличие резьбового разъема для соединения с лапаросонической рукояткой. Пистолетная рукоятка сведения браншей. Наличие резиновых прокладок на внутренней стороне рукоятки сведения браншей, кнопках ручной активации и ротационном кольце, препятствующих скольжению и способствующих комфортному размещению руки хирурга. Рабочая часть состоит из активной (лезвие) и пассивной браншей. Активная </w:t>
            </w:r>
            <w:r w:rsidRPr="00D70D67">
              <w:rPr>
                <w:rFonts w:ascii="Times New Roman" w:hAnsi="Times New Roman" w:cs="Times New Roman"/>
                <w:sz w:val="18"/>
                <w:szCs w:val="18"/>
              </w:rPr>
              <w:lastRenderedPageBreak/>
              <w:t>бранша титановая, с покрытием, для снижения степени налипания, изогнутая, для улучшения визуализации рабочего пространства, имеет в сечении шестигранную форму. Выпуклая и изогнутая поверхности, а также проксимальная часть активной бранши обладают более выраженным эффектом коагуляции тканей. Острые верхняя и нижняя грани, а также дистальная часть активной бранши (кончик) ообладают более выраженным эффектом диссекци тканей. Пассивная бранша имеет пластиковую накладку с насечками для улучшения фиксации ткани. Длина активной бранши (лезвия) 15 мм. Ширина пассивной бранши 2,67 мм. Аппертура раскрытия бранш 11,35 мм. Комплектуются замком рабочей части. Предназначены для использования у одного пациента, не подлежат повторной стерилизации. Поставляются стерильными. Могут применяться у пациентов с электрокардиостимуляторами. Совместимы с генератором при помощи специального адаптера  насадок (количество 2 шт).</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Дренажные катетеры (билиарный) ULT8.5-38-40-P-32S-CLB-RH</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Набор для несосудистого мини доступа в процедурах дренирования. В наборе: коаксильный интродьюсер 6F 20см, дилататор 4F, жесткая канюля, интродьюсерная игла, стилет троакар 15см 21G, нитиноловый проводник  с платиновым кончиком длиной 60см 0.018", PTFE проводник из нержавеющей стали длиной 150см 0.038" с двойным рабочим кончиком (прямым и J 3мм).</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Дренажные катетеры (билиарный универсальный изогнутый) </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Запирающийся билиарный дренажный катетер длиной 40 см с гидрофильным покрытием дистальной части до рентгенконтрастной метки  с ручным высвобождением. Кончик катетера имеет форму pigtail. Pigtail снабжен выпрямителем для легкого введения каннюлей. Катетер изготовлен из полиуретана, что обеспечивает устойчивость к изгибам и изломам, память формы, повышении пластичности внутри тела пациента. Материал катетера включает сульфат бария для улучшения видимости под рентгеновскими лучами.наличие платиновой рентгенконтрастной метки Размеры - 8.5, 10, 12, 14F, каждый имеет соответствующую цветовую кодировку хаба (голубой, фиолетовый, желтый, оранжевый). Количество дренажных отверстий - 17 для катететров диаметром 8.5 и 10 F и 18 для 12 и 14F . От 8 до 9 отверстий располагаются на кончике pigtail (количество варьирует в зависимости от размера) и 9 отверстий располагаются по спирали на стержне катетера  на расстоянии  5 или 2 см от отверстий на кончике катетера . Размер отверстий 0.065 см2Отверстия на стержне начинаются сразу от кончика pigtail. Большой размер отверстий и их количество обеспечивает максимальный дренаж 0.9см2. Катетер презназначен для использования с 0.038" проводником. В комплекте имеется катетер, жесткая металлическая каннюля с эхогенным кончиком, гибкая пластиковая каннюля , троакар, устройство для репозиционирования для снятия захвата и перемещения катетера.</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Катетер аблационный орашаемый lf TipMiFi OI </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Катетер ангиографический Radifocus Glidecath: размерами (Fr/мм)- 4/1.40; 5/1.70; длиной (см)-40; 65; 70; 80; 100; 110; 120</w:t>
            </w:r>
            <w:r w:rsidRPr="00D70D67">
              <w:rPr>
                <w:rFonts w:ascii="Times New Roman" w:hAnsi="Times New Roman" w:cs="Times New Roman"/>
                <w:sz w:val="18"/>
                <w:szCs w:val="18"/>
              </w:rPr>
              <w:br/>
              <w:t>Тонкая гибкая трубка предназначенная для впрыскивания контрастного вещества в некоторые кровеносные сосуды головной, висцеральной или периферической сосудистой системы во время проведения процедуры ангиографии в целях облегчения четкой визуализации сосудистой системы целевого органа или области тела. Супермягкий гидрофильный катетер вводится подкожно и оснащен рентгенококнтрастными полосами, размещенными вдоль ее дальнего рабочего конца, чтобы определить её положение в теле и провести анатомические измерения. Он также может быть использован для измерения давления и одновременного определения трансвальвулярного, внутрисосудистого и внутрижелудочкового давления. Это одноразовое устройство.</w:t>
            </w:r>
            <w:r w:rsidRPr="00D70D67">
              <w:rPr>
                <w:rFonts w:ascii="Times New Roman" w:hAnsi="Times New Roman" w:cs="Times New Roman"/>
                <w:sz w:val="18"/>
                <w:szCs w:val="18"/>
              </w:rPr>
              <w:br/>
              <w:t>Катетер предназначен для использования в ангиографических процедурах. Катетер подает рентгеноконтрастные вещества и терапевтические агенты в отдельные участки в сосудистой системе. Он также используется для доставки направляющего проводника или катетера к месту целевого назначения.</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Катетер ангиографический периферический диагностический  </w:t>
            </w:r>
          </w:p>
        </w:tc>
        <w:tc>
          <w:tcPr>
            <w:tcW w:w="10788" w:type="dxa"/>
            <w:shd w:val="clear" w:color="auto" w:fill="auto"/>
            <w:vAlign w:val="bottom"/>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Катетер диагностический Radifocus Optitorque. Материал катетера: полиуретан с покрытием двумя слоями эластомера полиамида, наличие стальной оплетки двойного плетения на всем протяжении катетера, за исключением дистальных 2 см. Наличие наружного диаметра 4, 5 и 6 Fr. Наличие увеличенного внутреннего просвета 4Fr не менее 0,041”/1,05 мм, 5Fr не менее 0,047”/1,20 мм, 6Fr не менее 0,051”/1,30 мм. Совместимость с 0,038”/0,97 мм проводником. Максимальное давление не более 1000 psi /6,895 kpa. Наличие внутреннего PTFE покрытия. Мягкий полипропиленовый кончик катетеров за исключением Pigtail. Наличие выбора специальных форм для артерий печени, почек, маток, простаты.</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Микрокатетер </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Микрокатетер многофункциональный для использования в коронарных и периферических сосудах. Размер гибкой дистальной части 20 см для атравматичного проведения в сосуды. Гидрофильное покрытие дистальных 80см. Наличие рентгеноконтрастной платиновой метки, инкапсулированной в стенку катетера, расположенной на расстоянии 1.3 мм проксимальнее дистального конца катетера. Три формы кончика катетера - прямой, с 45-градусным изгибом и "Swan neck". Три размера катетеров (проксимально/дистально): 2.8F/2.4F; 2.8F/2.8F и 2.9F/2.9F. Длина катетер 110, 130 и 150см. Внутренний диаметр катетеров: 0.020" (0.53мм) для катетеров 2.8F/2.4F; 0.024" (064мм) для катетеров 2.8F/28F; 0.027" (0.69мм) для катетеров 2.9F/2.9F. Совместимость с проводников 0,018"  для катетеров 2.8F/2.4F и 0,020" для катетеров 2.8F/2.8F и 2.9F/2.9F. Рекомендованный проводниковый катетер 0.040" (1.02 мм) для катетеров 2.8F/2.4Fи 2.8F/2.8F; и 0.042" (1.0.7мм) для катетеров 2.9F/2.9F. Пропускная способность  для катетеров 2.8F/2.4F 3.41 мл/сек для катетеров длиной 110см, 2.61мл/сек для катетеров 130см, 1.71 мл/сек для катетеров длиной 150см. Пропускная способность  для катетеров 2.8F/2.8F 3.44 мл/сек для катетеров длиной 110см, 2.58мл/сек для катетеров 130см, 2.22 мл/сек для катетеров длиной 150см.  Пропускная способность  для катетеров 2.9F/2.9F 4.13 мл/сек для катетеров длиной 110см, 3.70мл/сек для катетеров 130см, 3.73 мл/сек для катетеров длиной 150см.  Трехслойная конструкция катетера. Наружный материал катетер - специальный полимер с изменяемыми свойствами, материал оплетки нейлон. Материал внутреннего слоя политетрафторэтилен (PTFE). Максимальное допустимое давление катетера 800 psi. </w:t>
            </w:r>
            <w:r w:rsidRPr="00D70D67">
              <w:rPr>
                <w:rFonts w:ascii="Times New Roman" w:hAnsi="Times New Roman" w:cs="Times New Roman"/>
                <w:sz w:val="18"/>
                <w:szCs w:val="18"/>
              </w:rPr>
              <w:lastRenderedPageBreak/>
              <w:t xml:space="preserve">Материал втулки Grilamed, устойчивый к воздействию жиров, растворителей и спиртосодержащих растворов. Цветовая кодировка основания катетера: 2.9F -темно-синяя, 2.8Fr - синяя, </w:t>
            </w:r>
            <w:r w:rsidRPr="00D70D67">
              <w:rPr>
                <w:rFonts w:ascii="Times New Roman" w:hAnsi="Times New Roman" w:cs="Times New Roman"/>
                <w:sz w:val="18"/>
                <w:szCs w:val="18"/>
              </w:rPr>
              <w:br/>
              <w:t>2.8F/2.4Fr - голубая.</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Микропроводник управляемый  </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Микропроводник управляемый. Диаметр проводника 0.014" (0.36 mm). Длина проводника 145, 165 и 180 см. Материал сердечника - нержавеющая сталь. Наличие гидрофильного покрытия по всей длине проводника. Возможность множественного формирования кончика проводника. Длина формируемого кончика - 2 см. Материал кончика - вольфрам, покрытый золотом. Конфигурация кончика - прямой или ангулированный 45°.  Наличие полиуратенового покрытия с добавлением бария сульфата. Проводник упакован в индивидуальное пластиковое кольцо с портом для промывания.</w:t>
            </w:r>
          </w:p>
        </w:tc>
      </w:tr>
      <w:tr w:rsidR="00D70D67" w:rsidRPr="006D485E" w:rsidTr="00465B39">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Микросферы для химиоэмболизации  </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Микросферы способны абсорбировать жидкости с 4-х кратным увеличением диаметра частиц, что соответствует 64-х кратному увеличению объема. Увеличение размера частиц происходит при их контакте с кровью, контрастной средой или физраствором. После набухания, благодаря свойствам полимера из которого изготовлены микроcферы, их размер остается стабильным даже после «излучения» лекарственного препарата. Высокая впитывающая способность полимера позволяет, к примеру, сорбировать до 75 мг доксорубицина на 25 мг гепасфер. Это обусловлено тем, что сорбция идет не только на поверхности благодаря ионному взаимодействию, а по всему объему микросферы. Возможно также насыщение микросфер эринотеканом, митомицином, оксалиплатином, гемзаром и другими препаратами. Благодаря свойственной им эластичности, микросферы способны временно деформироваться, что позволяет им беспрепятственно продвигаться по катетерам небольших диаметров. Гидрофильные, эластичные, сжимаемость до 80%. Возможность впитывать лекарственный препарат, увеличиваясь при этом в объеме в 64 раза, и затем постепенно излучать его в месте доставки без уменьшения диаметра частиц. Специально созданный сферический эмболизат, каждая частица которого полностью соответствует диаметру целевого сосуда и обеспечивает таким образом адекватную эмболизацию. Гидрофильная поверхность, которая препятствует слипанию частиц при прохождении через катетер и внутри сосуда. Эластичность, позволяющая частицам временно деформироваться для беспрепятственного движения по катетерам небольших диаметров. для изготовления применяется специальный высоко адсорбирующий полимер. Расширяющиеся микросферы поставляются в сухом виде во флаконах по 25мг и 50мг. Размеры частиц в сухом виде от 30 до 200 мкм. Размеры частиц в насыщенном виде от 120 до 800мкм.</w:t>
            </w:r>
          </w:p>
        </w:tc>
      </w:tr>
      <w:tr w:rsidR="00D70D67" w:rsidRPr="006D485E" w:rsidTr="00465B39">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Микросферы для эмболизации EmboGold  в шприце, 2мл.</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Люэра, индивидуально упакованный на блистерном лотке, герметически закрытом отрывающейся крышкой Tyvek®. 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рентгенконтрастности. Содержимое: 1 мл микросфер в стерильном апирогенном физиологическом растворе с 0,9% NaCl. Диаметр частиц 40-120, 100-300,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микрокатетерам.  Микросферы не образуют агрегатов. Совместимы с микрокатетером с I.D. 0.008” до 0.038”. Микросферы предназначены для окклюзии кровеносных сосудов в терапевтических или предоперационных целях при следующих процедурах: - Эмболизации гиперваскулярных опухолей и процессов, включая маточные фиброиды, эмболизации предстательной железы, Эмболизации артериовенозных аномалий-  мальформаций ,гемостатической эмболизации, менингиомы и пр.</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Микросферы насыщаемые</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Микросферы LifePearl изготовлены из биосовместимого гидрогеля, содержащего полиэтиленгликоль 10к акриламид, модифицированный сульфонатными группами для контролируемого введения и доставки химиотерапевтических препаратов. Загрузка микросфер LifePearl возможна следующими химиотерапевтическими препаратами: доксорубицином, иринотеканом, эпирубицином, идарубицином. Время подготовки раствора от 30 минут.</w:t>
            </w:r>
            <w:r w:rsidRPr="00D70D67">
              <w:rPr>
                <w:rFonts w:ascii="Times New Roman" w:hAnsi="Times New Roman" w:cs="Times New Roman"/>
                <w:sz w:val="18"/>
                <w:szCs w:val="18"/>
              </w:rPr>
              <w:br/>
              <w:t>Микросферы LifePearl в состоянии выдерживать временное сжатие на 20-30%, что обеспечивает прохождение через доставляющий катетер.</w:t>
            </w:r>
            <w:r w:rsidRPr="00D70D67">
              <w:rPr>
                <w:rFonts w:ascii="Times New Roman" w:hAnsi="Times New Roman" w:cs="Times New Roman"/>
                <w:sz w:val="18"/>
                <w:szCs w:val="18"/>
              </w:rPr>
              <w:br/>
              <w:t xml:space="preserve">Предоставлены в нескольких диаметрах 100, 200, 400 мкм, окрашены в зеленый цвет. </w:t>
            </w:r>
            <w:r w:rsidRPr="00D70D67">
              <w:rPr>
                <w:rFonts w:ascii="Times New Roman" w:hAnsi="Times New Roman" w:cs="Times New Roman"/>
                <w:sz w:val="18"/>
                <w:szCs w:val="18"/>
              </w:rPr>
              <w:br/>
              <w:t xml:space="preserve">Микросферы LifePearl поставляются в шприце объемом 20 мл, предварительно заполненном 2 мл продукта, суспендированного в апирогенном стерильном солевом физиологическом транспортном растворе. Суммарный объем солевого физиологического раствора и микросфер LifePearl составляет примерно 6 мл. Предварительно заполненные шприцы с микросферами LifePearl упакованы в стерильный запечатанный лоток с отделяемой крышкой. </w:t>
            </w:r>
            <w:r w:rsidRPr="00D70D67">
              <w:rPr>
                <w:rFonts w:ascii="Times New Roman" w:hAnsi="Times New Roman" w:cs="Times New Roman"/>
                <w:sz w:val="18"/>
                <w:szCs w:val="18"/>
              </w:rPr>
              <w:br/>
              <w:t>Цветовая маркировка обозначает определенный размер микросфер, содержащихся в шприце: 100 ± 25 мкм - черный цвет; 200 ± 50 мкм – желтый цвет; 400 ± 50 мкм – синий цвет.</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Окклюсейф</w:t>
            </w:r>
          </w:p>
        </w:tc>
        <w:tc>
          <w:tcPr>
            <w:tcW w:w="10788" w:type="dxa"/>
            <w:shd w:val="clear" w:color="auto" w:fill="auto"/>
            <w:vAlign w:val="bottom"/>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Коаксиальный баллонный катетер OCCLUSION BALLOON CATH с внутренним просветом, обеспечивающим прохождение проводника, и внешним просветом для инфляции и дефляции баллона. Совместим с проводниками с диаметром 0.36 мм или меньше. Имеет проксимальную жесткую часть и дистальную подвижную часть, покрытую гидрофильным полимером, обеспечивающим скольжение катетера при его смачивании. На дистальном наконечнике имеются две рентгеноконтрастные метки. Внешний диаметр </w:t>
            </w:r>
            <w:r w:rsidRPr="00D70D67">
              <w:rPr>
                <w:rFonts w:ascii="Times New Roman" w:hAnsi="Times New Roman" w:cs="Times New Roman"/>
                <w:sz w:val="18"/>
                <w:szCs w:val="18"/>
              </w:rPr>
              <w:lastRenderedPageBreak/>
              <w:t>катетера: 0.94 мм ± 1.5 мм (проксимальный), 0.90 мм ± 1.5 мм (дистальный). Внутренний диаметр катетера: 0.43 мм ± 0.01 мм. Рабочая длина баллона: 10 ± 1.5 мм. Диаметр баллона: 4 мм. Рекомендуемый объем надувания баллона: 0.10 мл. Максимальный объем надувания баллона: 0.20 мл.</w:t>
            </w:r>
          </w:p>
        </w:tc>
      </w:tr>
      <w:tr w:rsidR="00D70D67" w:rsidRPr="006D485E" w:rsidTr="00465B39">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color w:val="000000"/>
                <w:sz w:val="18"/>
                <w:szCs w:val="18"/>
              </w:rPr>
              <w:t>Оксигенаторы Hilite 7000LT</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Оксигенаторы для  ЭКМО, взрослые в комплекте с магистралью и насосной головкой. Тип оксигенатора - Мембранный, половолоконный. Форма оксигенатора - основанная на теле вращения. Полые волокна - Микропористый полипропилен внутренний/наружный диаметр  280/380 мкм. Площадь газообмена(м.кв.) - не менее 1,9. Циркуляция крови - вертикальная. Объем заполнения - не менее 275 мл. Скорость кровотока - 1-7 л/мин. Сопротивление кровотоку при 6 л/мин - не более 150 мм рт.ст. Порты входа и выхода - 3/8”. Порт кардиоплегический - резьбовый коннектор DIN EN 1283. Порт рециркуляции - резьбовый коннектор DIN EN 1283. Теплообменник оксигенатора - интегрированный. Эффективность теплообмена при 6 л/мин - не более 0,63. Материал - полиэстер. Тип материала - полые волокна. Площадь теплообмена (м.кв.) - не менее 0,45. Наличие системы безопасности. полностью прозрачный корпус, доступность осмотра со всех сторон. Наличие дренажа воздуха из венозной камеры оксигенатора. Наличие дренажа воздуха из артериальной камеры оксигенатора. Количество шунтов оксигенатора - не менее 5. Покрытие - Реопарин.</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Проводник диагностический  </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Широкий спектр диаметров диагностических проводников: 0,18" (0.46мм), 0,21"(0.53мм), 0,25"(0.64мм),  0,35" (0.89мм), 0,38´´ (0.97мм). Длина проводников не менее 70,80, 100,120,145,150, и не более 180 см . Наличие прямых и/или J-изогнутого кончика проводника. Различный радиус J – загиба – 1.5, 3, 6 и 15мм. Различная длина гибкой дистальной части. Наличие проводников с двумя рабочими кончиками: J – изогнутый/прямой. Конфигурации прямых проводников: прямой (длина подвижного сегмента 7см). Наличие проводников с кончиком Rosen - для почечных артерий - сочетание атравматичного J-кончика большего изгиба с коротким сердечником. Возможность выбора проводников  с фиксированным и нефиксированным внутренним стержнем. Трехкомпонентный дизайн проводника - стержень, гибкая лента и PTFE (политетрафторэтилен) покрытие по всей длине, нанесенное метом грунтовки и придающее проводнику зеленый цвет. Возможность выбора проводников различной жесткости. Порт для промывания с механизмом Luer Lock. Проводник упаковон в пластиковое кольцо. Наличие выпрямителя J-кончика. Материал стержня проводника - нержавеющая сталь.</w:t>
            </w:r>
          </w:p>
        </w:tc>
      </w:tr>
      <w:tr w:rsidR="00D70D67" w:rsidRPr="006D485E" w:rsidTr="00465B39">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Проводник диагностический гидрофильный Laureate</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Диагностический проводник: 0,35´´. Длина проводников не менее 80, 150, 180 и не более 260 см.  Наличие проводников с двумя рабочими кончиками:  – изогнутый/прямой. Фиксированный стержень. Гидрофильное покрытие  повышенной устойчивости по всей длине проводника, сердцевина из нитинола, увеличенная рентгеноконтрастность благодаря запатентованной полимерной оболочке. Полиуретановая оболочка и гидрофильное покрытие также обеспечивает устойчивость к тромбообразованию. Гибкий кончик 3  см.  Возможность выбора проводников различной жесткости.  Конфигурация проводника стандартной и повышенной жесткости. . Материал оплетки проводника полиуретан.   Выпрямитель -кончика в комплекте. Наличие проводников быстрой замены (только для проводников длиной 260см). Крутящий момент проводника 1:1.      </w:t>
            </w:r>
          </w:p>
        </w:tc>
      </w:tr>
      <w:tr w:rsidR="00D70D67" w:rsidRPr="006D485E" w:rsidTr="00465B39">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Проводник диагностический сверхжесткий InQwire </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Широкий спектр диаметров сверхжестких диагностических проводников: 0,35" (0.89мм). Длина проводников 260 см (проводники быстрой замены). Проводник SuperStiff (длина подвижного сегмента 7см). Фиксированный внутренний стержень. Трехкомпонентный дизайн проводника - стержень, гибкая лента и PTFE (политетрафторэтилен) покрытие по всей длине, нанесенное метом грунтовки и придающее проводнику зеленый цвет. Порт для промывания с механизмом Luer Lock. Проводник упакован в пластиковое кольцо. Наличие выпрямителя J-кончика. Материал стержня проводника - нержавеющая сталь</w:t>
            </w:r>
          </w:p>
        </w:tc>
      </w:tr>
      <w:tr w:rsidR="00D70D67" w:rsidRPr="006D485E" w:rsidTr="00465B39">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Проводник коронарный</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Проводник коронарный для проведения интервенционных манипуляций на коронарных артериях. Прямой, 180 см, диаметр 0,014”/0,36мм. Возможность удлинения до 300 см с помощью удлинителя, приобретаемого отдельно. Ренгеноконтрастный кончик 3см, длина моделируемой части кончика – 10мм. С гидрофильным покрытием дистальной части проводника со 2-го по 250 мм. С нитиноловым дистальным и стальным проксимальным сердечниками с тефлоновым покрытием. С гибким и тонким соединением дистального нитинолового и стального проксимального стержней. В дистальной части проводника спиральная катушка из нержавеющей стали с переходом в платиновую (на дистальных 3 см) – для лучшей гибкости и визуализации. В комплекте со специальной тупой иглой 22G для моделирования кончика проводника. Наличие выбора проводников с весом кончика 0.6, 1.0 или 3.6г.  Проводник состоит из корпуса (стальной стержень SUS 304), оболочка ствола - политетрафлюроэтилен, держатель - полиэтилен, ручной зажим - полипропилен, гидрофильная оболочка - Универсальные коронарные проводник для острых окклюзии</w:t>
            </w:r>
            <w:r w:rsidRPr="00D70D67">
              <w:rPr>
                <w:rFonts w:ascii="Times New Roman" w:hAnsi="Times New Roman" w:cs="Times New Roman"/>
                <w:sz w:val="18"/>
                <w:szCs w:val="18"/>
              </w:rPr>
              <w:br/>
              <w:t>Диаметр: не более 0,014" (0,3556 мм)</w:t>
            </w:r>
            <w:r w:rsidRPr="00D70D67">
              <w:rPr>
                <w:rFonts w:ascii="Times New Roman" w:hAnsi="Times New Roman" w:cs="Times New Roman"/>
                <w:sz w:val="18"/>
                <w:szCs w:val="18"/>
              </w:rPr>
              <w:br/>
              <w:t>Наличие длин, см: 180-190 см</w:t>
            </w:r>
            <w:r w:rsidRPr="00D70D67">
              <w:rPr>
                <w:rFonts w:ascii="Times New Roman" w:hAnsi="Times New Roman" w:cs="Times New Roman"/>
                <w:sz w:val="18"/>
                <w:szCs w:val="18"/>
              </w:rPr>
              <w:br/>
              <w:t xml:space="preserve">Материал сердечника: наличие нержавеющая сталь, </w:t>
            </w:r>
            <w:r w:rsidRPr="00D70D67">
              <w:rPr>
                <w:rFonts w:ascii="Times New Roman" w:hAnsi="Times New Roman" w:cs="Times New Roman"/>
                <w:sz w:val="18"/>
                <w:szCs w:val="18"/>
              </w:rPr>
              <w:br/>
              <w:t>Тип сердечника: Технология изготовления «composite core» наличие однокомпонентный из стали и дублирующий, идущий параллельно витой микросердечник из стальных проволок.</w:t>
            </w:r>
            <w:r w:rsidRPr="00D70D67">
              <w:rPr>
                <w:rFonts w:ascii="Times New Roman" w:hAnsi="Times New Roman" w:cs="Times New Roman"/>
                <w:sz w:val="18"/>
                <w:szCs w:val="18"/>
              </w:rPr>
              <w:br/>
              <w:t>Передача вращения наличие 1:1</w:t>
            </w:r>
            <w:r w:rsidRPr="00D70D67">
              <w:rPr>
                <w:rFonts w:ascii="Times New Roman" w:hAnsi="Times New Roman" w:cs="Times New Roman"/>
                <w:sz w:val="18"/>
                <w:szCs w:val="18"/>
              </w:rPr>
              <w:br/>
              <w:t>Усиление, необходимое для изгиба дистальной части проводника 0.5. 0,7 г.</w:t>
            </w:r>
            <w:r w:rsidRPr="00D70D67">
              <w:rPr>
                <w:rFonts w:ascii="Times New Roman" w:hAnsi="Times New Roman" w:cs="Times New Roman"/>
                <w:sz w:val="18"/>
                <w:szCs w:val="18"/>
              </w:rPr>
              <w:br/>
              <w:t>Дистальная рентгенокотрастная спираль, длиной: 3 см</w:t>
            </w:r>
            <w:r w:rsidRPr="00D70D67">
              <w:rPr>
                <w:rFonts w:ascii="Times New Roman" w:hAnsi="Times New Roman" w:cs="Times New Roman"/>
                <w:sz w:val="18"/>
                <w:szCs w:val="18"/>
              </w:rPr>
              <w:br/>
              <w:t>Проксимальная спираль из нержавеющей стали, длиной: 15- 25 см</w:t>
            </w:r>
            <w:r w:rsidRPr="00D70D67">
              <w:rPr>
                <w:rFonts w:ascii="Times New Roman" w:hAnsi="Times New Roman" w:cs="Times New Roman"/>
                <w:sz w:val="18"/>
                <w:szCs w:val="18"/>
              </w:rPr>
              <w:br/>
            </w:r>
            <w:r w:rsidRPr="00D70D67">
              <w:rPr>
                <w:rFonts w:ascii="Times New Roman" w:hAnsi="Times New Roman" w:cs="Times New Roman"/>
                <w:sz w:val="18"/>
                <w:szCs w:val="18"/>
              </w:rPr>
              <w:lastRenderedPageBreak/>
              <w:t>Покрытие проксимальной спирали: наличие PTFE</w:t>
            </w:r>
            <w:r w:rsidRPr="00D70D67">
              <w:rPr>
                <w:rFonts w:ascii="Times New Roman" w:hAnsi="Times New Roman" w:cs="Times New Roman"/>
                <w:sz w:val="18"/>
                <w:szCs w:val="18"/>
              </w:rPr>
              <w:br/>
              <w:t>Наличие дублирующей (внутренней) оплетки сердечника.</w:t>
            </w:r>
            <w:r w:rsidRPr="00D70D67">
              <w:rPr>
                <w:rFonts w:ascii="Times New Roman" w:hAnsi="Times New Roman" w:cs="Times New Roman"/>
                <w:sz w:val="18"/>
                <w:szCs w:val="18"/>
              </w:rPr>
              <w:br/>
              <w:t>Возможность удлинения до: не менее 300 см</w:t>
            </w:r>
            <w:r w:rsidRPr="00D70D67">
              <w:rPr>
                <w:rFonts w:ascii="Times New Roman" w:hAnsi="Times New Roman" w:cs="Times New Roman"/>
                <w:sz w:val="18"/>
                <w:szCs w:val="18"/>
              </w:rPr>
              <w:br/>
              <w:t>Варианты покрытия дистальной части: наличие гидрофильное.</w:t>
            </w:r>
            <w:r w:rsidRPr="00D70D67">
              <w:rPr>
                <w:rFonts w:ascii="Times New Roman" w:hAnsi="Times New Roman" w:cs="Times New Roman"/>
                <w:sz w:val="18"/>
                <w:szCs w:val="18"/>
              </w:rPr>
              <w:br/>
              <w:t>Варианты поддержки: наличие стандартная и дополнительная</w:t>
            </w:r>
            <w:r w:rsidRPr="00D70D67">
              <w:rPr>
                <w:rFonts w:ascii="Times New Roman" w:hAnsi="Times New Roman" w:cs="Times New Roman"/>
                <w:sz w:val="18"/>
                <w:szCs w:val="18"/>
              </w:rPr>
              <w:br/>
              <w:t>Варианты дистального кончика: наличие прямой и J</w:t>
            </w:r>
            <w:r w:rsidRPr="00D70D67">
              <w:rPr>
                <w:rFonts w:ascii="Times New Roman" w:hAnsi="Times New Roman" w:cs="Times New Roman"/>
                <w:sz w:val="18"/>
                <w:szCs w:val="18"/>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субтотальные стенозы, а так же для доставки инструментов- коронарных баллонов и стентов.</w:t>
            </w:r>
            <w:r w:rsidRPr="00D70D67">
              <w:rPr>
                <w:rFonts w:ascii="Times New Roman" w:hAnsi="Times New Roman" w:cs="Times New Roman"/>
                <w:sz w:val="18"/>
                <w:szCs w:val="18"/>
              </w:rPr>
              <w:br/>
              <w:t>Срок хранения с момента производства, мес.: не менее 24</w:t>
            </w:r>
          </w:p>
        </w:tc>
      </w:tr>
      <w:tr w:rsidR="00D70D67" w:rsidRPr="006D485E" w:rsidTr="00465B39">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 xml:space="preserve">Трубка насос ХD2020  </w:t>
            </w: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Трубка насоса, подходящая для всех инжекторов поколений XD 200x. Используется в течение 24 часа для любого количества инъекций. Три подключения для флаконов, каждое имеет фильтр для воздуха. Специальный фильтр для мелких частиц. Встроенная система контроля давления. Проверена на прочность по выдерживанию давления. Проверена на совместимость с КВ. Апирогенная. Без латекса.</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Эмболизирующий материал (ненагружаемые микросферы)</w:t>
            </w:r>
          </w:p>
        </w:tc>
        <w:tc>
          <w:tcPr>
            <w:tcW w:w="10788" w:type="dxa"/>
            <w:shd w:val="clear" w:color="auto" w:fill="auto"/>
            <w:vAlign w:val="bottom"/>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Микросферы HydroPearl™ входят в семейство эмболических частиц, разработанных на основании фирменной технологии создания микросфер компании MicroVention. Данные сферы разработаны, чтобы обеспечить контролируемую целенаправленную эмболизацию. Микросферы HydroPearl™ изготовлены из полиэтиленгликоля и включают ряд микросфер в готовом виде, сжимаемых, откалиброванных, сферических по форме и биосовместимых. Микросферы HydroPearl™ доступны в</w:t>
            </w:r>
            <w:r w:rsidRPr="00D70D67">
              <w:rPr>
                <w:rFonts w:ascii="Times New Roman" w:hAnsi="Times New Roman" w:cs="Times New Roman"/>
                <w:sz w:val="18"/>
                <w:szCs w:val="18"/>
              </w:rPr>
              <w:br/>
              <w:t>следующем диапазоне размеров: 75 ± 30 мкм; 200 ± 75 мкм; 400 ± 75 мкм; 600 ± 75 мкм; 800 ± 75 мкм; 1100 ± 75 мкм.   Цветовая маркировка обозначает определенный размер микросфер, содержащихся в шприце: 75 - оранжевый цвет; 200 – желтый цвет; 400 – голубой цвет; 600 – красный цвет; 800 – зеленый цвет; 1100 – фиолетовый цвет. Микросферы HydroPearl™ содержатся в стерильном шприце объемом 20 см3 и упакованы в контейнер со снимающейся крышкой из материала Tyvek. Каждый шприц содержит приблизительно 2 мл микросфер HydroPearl™ в апирогенном, стерильном транспортировочном буферном физиологическом растворе.</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Эмболизационные спирали 0,18</w:t>
            </w:r>
          </w:p>
        </w:tc>
        <w:tc>
          <w:tcPr>
            <w:tcW w:w="10788" w:type="dxa"/>
            <w:shd w:val="clear" w:color="auto" w:fill="auto"/>
            <w:vAlign w:val="bottom"/>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Периферийная эндоваскулярная спиралевидная система эмболизации AZUR PUSHABLE 18  в комплекте.</w:t>
            </w:r>
            <w:r w:rsidRPr="00D70D67">
              <w:rPr>
                <w:rFonts w:ascii="Times New Roman" w:hAnsi="Times New Roman" w:cs="Times New Roman"/>
                <w:sz w:val="18"/>
                <w:szCs w:val="18"/>
              </w:rPr>
              <w:br/>
              <w:t xml:space="preserve">Комплект спиралей предназначен для уменьшения или блокирования скорости кровотока в сосудах периферической сосудистой системы. Она предназначена для использования в интервенционном управлении радиологических артериовенозных мальформаций, артериовенозных свищей, аневризмом и других повреждений в периферической сосудистой системе. Система AZUR состоит из имплантируемой спирали, прикрепленной к толкателю доставки. Имплантируемая спираль представляет собой спираль из платинового сплава с наружным слоем из гидрофильного полимерного материала. Система спиралей доставляется к месту обработки через микрокатетер. Проксимальный конец падающего толкателя подключен к контроллеру разряда и когда контроллер включен, происходит отрыв спирали. Контроллер разряда упаковывается (стерильно) отдельно. Тип спирали: толкаемая или отделяемая. Диаметр спирали: 0,018” или 0,035”. Катетер: 0.021" – 0.022". Микрокатетер внутренний диаметр: 0.53 мм. – 0.56 мм. Диаметр петли: 2 мм., 3 мм., 4 мм., 5 мм., 6 мм., 8 мм., 10 мм. </w:t>
            </w:r>
            <w:r w:rsidRPr="00D70D67">
              <w:rPr>
                <w:rFonts w:ascii="Times New Roman" w:hAnsi="Times New Roman" w:cs="Times New Roman"/>
                <w:sz w:val="18"/>
                <w:szCs w:val="18"/>
              </w:rPr>
              <w:br/>
              <w:t>Длина (см.): 2, 4, 6, 10, 14</w:t>
            </w:r>
          </w:p>
        </w:tc>
      </w:tr>
      <w:tr w:rsidR="00D70D67" w:rsidRPr="006D485E" w:rsidTr="0026046E">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Эмболизационные спирали 0,35</w:t>
            </w:r>
          </w:p>
          <w:p w:rsidR="00D70D67" w:rsidRPr="00D70D67" w:rsidRDefault="00D70D67" w:rsidP="00D70D67">
            <w:pPr>
              <w:pStyle w:val="ab"/>
              <w:rPr>
                <w:rFonts w:ascii="Times New Roman" w:hAnsi="Times New Roman" w:cs="Times New Roman"/>
                <w:sz w:val="18"/>
                <w:szCs w:val="18"/>
              </w:rPr>
            </w:pPr>
          </w:p>
          <w:p w:rsidR="00D70D67" w:rsidRPr="00D70D67" w:rsidRDefault="00D70D67" w:rsidP="00D70D67">
            <w:pPr>
              <w:pStyle w:val="ab"/>
              <w:rPr>
                <w:rFonts w:ascii="Times New Roman" w:hAnsi="Times New Roman" w:cs="Times New Roman"/>
                <w:sz w:val="18"/>
                <w:szCs w:val="18"/>
              </w:rPr>
            </w:pP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Периферийная эндоваскулярная спиралевидная система эмболизации AZUR PUSHABLE 35 в комплекте.</w:t>
            </w:r>
          </w:p>
        </w:tc>
      </w:tr>
      <w:tr w:rsidR="00D70D67" w:rsidRPr="006D485E" w:rsidTr="00465B39">
        <w:trPr>
          <w:trHeight w:val="170"/>
        </w:trPr>
        <w:tc>
          <w:tcPr>
            <w:tcW w:w="852" w:type="dxa"/>
            <w:tcBorders>
              <w:right w:val="single" w:sz="4" w:space="0" w:color="auto"/>
            </w:tcBorders>
            <w:shd w:val="clear" w:color="auto" w:fill="auto"/>
          </w:tcPr>
          <w:p w:rsidR="00D70D67" w:rsidRPr="006D485E" w:rsidRDefault="00D70D67"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Внешние эталонные накладки</w:t>
            </w:r>
          </w:p>
          <w:p w:rsidR="00D70D67" w:rsidRPr="00D70D67" w:rsidRDefault="00D70D67" w:rsidP="00D70D67">
            <w:pPr>
              <w:pStyle w:val="ab"/>
              <w:rPr>
                <w:rFonts w:ascii="Times New Roman" w:hAnsi="Times New Roman" w:cs="Times New Roman"/>
                <w:sz w:val="18"/>
                <w:szCs w:val="18"/>
              </w:rPr>
            </w:pPr>
          </w:p>
          <w:p w:rsidR="00D70D67" w:rsidRPr="00D70D67" w:rsidRDefault="00D70D67" w:rsidP="00D70D67">
            <w:pPr>
              <w:pStyle w:val="ab"/>
              <w:rPr>
                <w:rFonts w:ascii="Times New Roman" w:hAnsi="Times New Roman" w:cs="Times New Roman"/>
                <w:sz w:val="18"/>
                <w:szCs w:val="18"/>
              </w:rPr>
            </w:pPr>
          </w:p>
        </w:tc>
        <w:tc>
          <w:tcPr>
            <w:tcW w:w="10788" w:type="dxa"/>
            <w:shd w:val="clear" w:color="auto" w:fill="auto"/>
          </w:tcPr>
          <w:p w:rsidR="00D70D67" w:rsidRPr="00D70D67" w:rsidRDefault="00D70D67" w:rsidP="00D70D67">
            <w:pPr>
              <w:pStyle w:val="ab"/>
              <w:rPr>
                <w:rFonts w:ascii="Times New Roman" w:hAnsi="Times New Roman" w:cs="Times New Roman"/>
                <w:sz w:val="18"/>
                <w:szCs w:val="18"/>
              </w:rPr>
            </w:pPr>
            <w:r w:rsidRPr="00D70D67">
              <w:rPr>
                <w:rFonts w:ascii="Times New Roman" w:hAnsi="Times New Roman" w:cs="Times New Roman"/>
                <w:sz w:val="18"/>
                <w:szCs w:val="18"/>
              </w:rPr>
              <w:t>Поверхносые наружные референтные накладки для системы  Carto 3- набор из 6 шт (упаковка)</w:t>
            </w:r>
          </w:p>
        </w:tc>
      </w:tr>
      <w:tr w:rsidR="000C3C3D" w:rsidRPr="006D485E" w:rsidTr="0026046E">
        <w:trPr>
          <w:trHeight w:val="170"/>
        </w:trPr>
        <w:tc>
          <w:tcPr>
            <w:tcW w:w="852" w:type="dxa"/>
            <w:tcBorders>
              <w:right w:val="single" w:sz="4" w:space="0" w:color="auto"/>
            </w:tcBorders>
            <w:shd w:val="clear" w:color="auto" w:fill="auto"/>
          </w:tcPr>
          <w:p w:rsidR="000C3C3D" w:rsidRPr="006D485E" w:rsidRDefault="000C3C3D" w:rsidP="008B1AAF">
            <w:pPr>
              <w:pStyle w:val="a8"/>
              <w:numPr>
                <w:ilvl w:val="0"/>
                <w:numId w:val="2"/>
              </w:numPr>
              <w:spacing w:after="0" w:line="240" w:lineRule="auto"/>
              <w:rPr>
                <w:rFonts w:ascii="Times New Roman" w:eastAsia="Times New Roman" w:hAnsi="Times New Roman" w:cs="Times New Roman"/>
                <w:b/>
                <w:bCs/>
                <w:color w:val="000000"/>
                <w:sz w:val="18"/>
                <w:szCs w:val="18"/>
                <w:lang w:eastAsia="ru-RU"/>
              </w:rPr>
            </w:pPr>
          </w:p>
        </w:tc>
        <w:tc>
          <w:tcPr>
            <w:tcW w:w="3827" w:type="dxa"/>
            <w:shd w:val="clear" w:color="000000" w:fill="FFFFFF"/>
            <w:vAlign w:val="center"/>
          </w:tcPr>
          <w:p w:rsidR="000C3C3D" w:rsidRPr="000C3C3D" w:rsidRDefault="000C3C3D" w:rsidP="00F31968">
            <w:pPr>
              <w:pStyle w:val="ab"/>
              <w:rPr>
                <w:rFonts w:ascii="Times New Roman" w:hAnsi="Times New Roman"/>
                <w:sz w:val="18"/>
                <w:szCs w:val="18"/>
              </w:rPr>
            </w:pPr>
            <w:r w:rsidRPr="000C3C3D">
              <w:rPr>
                <w:rFonts w:ascii="Times New Roman" w:hAnsi="Times New Roman"/>
                <w:sz w:val="18"/>
                <w:szCs w:val="18"/>
              </w:rPr>
              <w:t xml:space="preserve">Трехпросветный Педиатрический Центральный Венозный Катетер </w:t>
            </w:r>
          </w:p>
          <w:p w:rsidR="000C3C3D" w:rsidRPr="000C3C3D" w:rsidRDefault="000C3C3D" w:rsidP="00F31968">
            <w:pPr>
              <w:pStyle w:val="ab"/>
              <w:rPr>
                <w:rFonts w:ascii="Times New Roman" w:hAnsi="Times New Roman"/>
                <w:sz w:val="18"/>
                <w:szCs w:val="18"/>
              </w:rPr>
            </w:pPr>
          </w:p>
        </w:tc>
        <w:tc>
          <w:tcPr>
            <w:tcW w:w="10788" w:type="dxa"/>
            <w:shd w:val="clear" w:color="auto" w:fill="auto"/>
            <w:vAlign w:val="center"/>
          </w:tcPr>
          <w:p w:rsidR="000C3C3D" w:rsidRPr="000C3C3D" w:rsidRDefault="000C3C3D" w:rsidP="00F31968">
            <w:pPr>
              <w:pStyle w:val="ab"/>
              <w:rPr>
                <w:rFonts w:ascii="Times New Roman" w:hAnsi="Times New Roman"/>
                <w:sz w:val="18"/>
                <w:szCs w:val="18"/>
              </w:rPr>
            </w:pPr>
            <w:r w:rsidRPr="000C3C3D">
              <w:rPr>
                <w:rFonts w:ascii="Times New Roman" w:hAnsi="Times New Roman"/>
                <w:sz w:val="18"/>
                <w:szCs w:val="18"/>
              </w:rPr>
              <w:t>Трехпросветный  Педиатрический Центральный Венозный  Катетер, c мягким атравматичным кончиком, зажимами линий соединения, прокалываемыми колпачками.   Материал катетера -  рентгенконтрастный полиуретан.   Длина - 8, 13 см; Диаметр – 4; 5,5  Fr.                                                                    Состав набора: катетер, проводник 0,018 дюйм Х 45см с прямым и j-образным кончиком; Канюля  на игле; Игла 21Gaх3,81см; Тканевой расширитель; Шприц  5мл; Мягкий и жесткий фиксаторы катетера.</w:t>
            </w:r>
          </w:p>
          <w:p w:rsidR="000C3C3D" w:rsidRPr="000C3C3D" w:rsidRDefault="000C3C3D" w:rsidP="00F31968">
            <w:pPr>
              <w:pStyle w:val="ab"/>
              <w:rPr>
                <w:rFonts w:ascii="Times New Roman" w:hAnsi="Times New Roman"/>
                <w:sz w:val="18"/>
                <w:szCs w:val="18"/>
              </w:rPr>
            </w:pPr>
            <w:r w:rsidRPr="000C3C3D">
              <w:rPr>
                <w:rFonts w:ascii="Times New Roman" w:hAnsi="Times New Roman"/>
                <w:sz w:val="18"/>
                <w:szCs w:val="18"/>
              </w:rPr>
              <w:t>Размер и тип катетера по заявке Заказчика.</w:t>
            </w:r>
          </w:p>
        </w:tc>
      </w:tr>
    </w:tbl>
    <w:p w:rsidR="000258CD" w:rsidRPr="003B26F5" w:rsidRDefault="000258CD" w:rsidP="000258CD">
      <w:pPr>
        <w:spacing w:after="0" w:line="240" w:lineRule="auto"/>
        <w:rPr>
          <w:rFonts w:ascii="Times New Roman" w:hAnsi="Times New Roman" w:cs="Times New Roman"/>
          <w:b/>
          <w:sz w:val="20"/>
          <w:szCs w:val="20"/>
          <w:lang w:val="kk-KZ"/>
        </w:rPr>
      </w:pPr>
      <w:r w:rsidRPr="003B26F5">
        <w:rPr>
          <w:rFonts w:ascii="Times New Roman" w:hAnsi="Times New Roman" w:cs="Times New Roman"/>
          <w:b/>
          <w:sz w:val="20"/>
          <w:szCs w:val="20"/>
          <w:lang w:val="kk-KZ"/>
        </w:rPr>
        <w:t xml:space="preserve">                                                                </w:t>
      </w:r>
    </w:p>
    <w:p w:rsidR="003B26F5" w:rsidRDefault="003B26F5">
      <w:pPr>
        <w:spacing w:after="0" w:line="240" w:lineRule="auto"/>
        <w:rPr>
          <w:rFonts w:ascii="Times New Roman" w:hAnsi="Times New Roman" w:cs="Times New Roman"/>
          <w:b/>
          <w:sz w:val="20"/>
          <w:szCs w:val="20"/>
          <w:lang w:val="kk-KZ"/>
        </w:rPr>
      </w:pPr>
    </w:p>
    <w:p w:rsidR="003B26F5" w:rsidRDefault="003B26F5">
      <w:pPr>
        <w:spacing w:after="0" w:line="240" w:lineRule="auto"/>
        <w:rPr>
          <w:rFonts w:ascii="Times New Roman" w:hAnsi="Times New Roman" w:cs="Times New Roman"/>
          <w:b/>
          <w:sz w:val="20"/>
          <w:szCs w:val="20"/>
          <w:lang w:val="kk-KZ"/>
        </w:rPr>
      </w:pPr>
    </w:p>
    <w:p w:rsidR="003B26F5" w:rsidRPr="003B26F5" w:rsidRDefault="008B1AAF">
      <w:pPr>
        <w:spacing w:after="0" w:line="240" w:lineRule="auto"/>
        <w:rPr>
          <w:rFonts w:ascii="Times New Roman" w:hAnsi="Times New Roman" w:cs="Times New Roman"/>
          <w:b/>
          <w:sz w:val="20"/>
          <w:szCs w:val="20"/>
          <w:lang w:val="kk-KZ"/>
        </w:rPr>
      </w:pPr>
      <w:r w:rsidRPr="008B1AAF">
        <w:rPr>
          <w:rFonts w:ascii="Times New Roman" w:hAnsi="Times New Roman" w:cs="Times New Roman"/>
          <w:b/>
          <w:sz w:val="24"/>
          <w:szCs w:val="24"/>
          <w:lang w:val="kk-KZ"/>
        </w:rPr>
        <w:t>Руководитель ОГЗ                                                             Рахимова Л.З.</w:t>
      </w:r>
    </w:p>
    <w:sectPr w:rsidR="003B26F5" w:rsidRPr="003B26F5" w:rsidSect="003B26F5">
      <w:headerReference w:type="default" r:id="rId9"/>
      <w:footerReference w:type="default" r:id="rId10"/>
      <w:pgSz w:w="16838" w:h="11906" w:orient="landscape"/>
      <w:pgMar w:top="-340" w:right="539" w:bottom="0" w:left="1276" w:header="397" w:footer="284" w:gutter="0"/>
      <w:cols w:space="708"/>
      <w:vAlign w:val="bottom"/>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E9E" w:rsidRDefault="00487E9E" w:rsidP="00D118D2">
      <w:pPr>
        <w:spacing w:after="0" w:line="240" w:lineRule="auto"/>
      </w:pPr>
      <w:r>
        <w:separator/>
      </w:r>
    </w:p>
  </w:endnote>
  <w:endnote w:type="continuationSeparator" w:id="0">
    <w:p w:rsidR="00487E9E" w:rsidRDefault="00487E9E" w:rsidP="00D11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8D2" w:rsidRPr="00D118D2" w:rsidRDefault="00D118D2" w:rsidP="00D118D2">
    <w:pPr>
      <w:pStyle w:val="a6"/>
      <w:jc w:val="right"/>
      <w:rPr>
        <w:lang w:val="kk-K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E9E" w:rsidRDefault="00487E9E" w:rsidP="00D118D2">
      <w:pPr>
        <w:spacing w:after="0" w:line="240" w:lineRule="auto"/>
      </w:pPr>
      <w:r>
        <w:separator/>
      </w:r>
    </w:p>
  </w:footnote>
  <w:footnote w:type="continuationSeparator" w:id="0">
    <w:p w:rsidR="00487E9E" w:rsidRDefault="00487E9E" w:rsidP="00D118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738" w:rsidRDefault="00346738" w:rsidP="000A7362">
    <w:pPr>
      <w:pStyle w:val="a4"/>
      <w:tabs>
        <w:tab w:val="left" w:pos="5460"/>
      </w:tabs>
    </w:pPr>
  </w:p>
  <w:p w:rsidR="000A7362" w:rsidRDefault="000A7362" w:rsidP="003B26F5">
    <w:pPr>
      <w:pStyle w:val="a4"/>
      <w:tabs>
        <w:tab w:val="left" w:pos="54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76B28"/>
    <w:multiLevelType w:val="hybridMultilevel"/>
    <w:tmpl w:val="3EEEB4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0610B1"/>
    <w:multiLevelType w:val="hybridMultilevel"/>
    <w:tmpl w:val="2AB4ABFA"/>
    <w:lvl w:ilvl="0" w:tplc="0419000F">
      <w:start w:val="1"/>
      <w:numFmt w:val="decimal"/>
      <w:lvlText w:val="%1."/>
      <w:lvlJc w:val="left"/>
      <w:pPr>
        <w:ind w:left="19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BDA1041"/>
    <w:multiLevelType w:val="hybridMultilevel"/>
    <w:tmpl w:val="5A12F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EA6"/>
    <w:rsid w:val="000258CD"/>
    <w:rsid w:val="000A7362"/>
    <w:rsid w:val="000C3C3D"/>
    <w:rsid w:val="00201D3B"/>
    <w:rsid w:val="002220F9"/>
    <w:rsid w:val="00237669"/>
    <w:rsid w:val="00256FA5"/>
    <w:rsid w:val="002A43AF"/>
    <w:rsid w:val="002B330C"/>
    <w:rsid w:val="002D05D5"/>
    <w:rsid w:val="002D38F9"/>
    <w:rsid w:val="00322C49"/>
    <w:rsid w:val="00346738"/>
    <w:rsid w:val="003A581C"/>
    <w:rsid w:val="003B26F5"/>
    <w:rsid w:val="00441A44"/>
    <w:rsid w:val="00465B39"/>
    <w:rsid w:val="00487E9E"/>
    <w:rsid w:val="004959F6"/>
    <w:rsid w:val="004B61A2"/>
    <w:rsid w:val="004C424A"/>
    <w:rsid w:val="004C4DD5"/>
    <w:rsid w:val="00505B63"/>
    <w:rsid w:val="00525FC1"/>
    <w:rsid w:val="0053064F"/>
    <w:rsid w:val="005316B5"/>
    <w:rsid w:val="00537718"/>
    <w:rsid w:val="00566A49"/>
    <w:rsid w:val="005E7B1B"/>
    <w:rsid w:val="00615931"/>
    <w:rsid w:val="00653EA6"/>
    <w:rsid w:val="00663B7F"/>
    <w:rsid w:val="00687590"/>
    <w:rsid w:val="006A2ECA"/>
    <w:rsid w:val="006C5BE6"/>
    <w:rsid w:val="006D485E"/>
    <w:rsid w:val="006E2365"/>
    <w:rsid w:val="006E28AA"/>
    <w:rsid w:val="00704FDF"/>
    <w:rsid w:val="00712C7A"/>
    <w:rsid w:val="00722B62"/>
    <w:rsid w:val="00725373"/>
    <w:rsid w:val="0084707A"/>
    <w:rsid w:val="0089471B"/>
    <w:rsid w:val="008B1AAF"/>
    <w:rsid w:val="008C491C"/>
    <w:rsid w:val="008D50E4"/>
    <w:rsid w:val="00A051A2"/>
    <w:rsid w:val="00A8446E"/>
    <w:rsid w:val="00AF10E2"/>
    <w:rsid w:val="00B50626"/>
    <w:rsid w:val="00B5317C"/>
    <w:rsid w:val="00B62A7C"/>
    <w:rsid w:val="00BC5302"/>
    <w:rsid w:val="00C17063"/>
    <w:rsid w:val="00C627E5"/>
    <w:rsid w:val="00C8214D"/>
    <w:rsid w:val="00CE1430"/>
    <w:rsid w:val="00D118D2"/>
    <w:rsid w:val="00D70D67"/>
    <w:rsid w:val="00DD5BDF"/>
    <w:rsid w:val="00DF69FD"/>
    <w:rsid w:val="00E16240"/>
    <w:rsid w:val="00E74A65"/>
    <w:rsid w:val="00E75B29"/>
    <w:rsid w:val="00E8455A"/>
    <w:rsid w:val="00EB47B0"/>
    <w:rsid w:val="00EF2FF0"/>
    <w:rsid w:val="00F559A9"/>
    <w:rsid w:val="00F750CA"/>
    <w:rsid w:val="00FA0BFF"/>
    <w:rsid w:val="00FA6E5F"/>
    <w:rsid w:val="00FE09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uiPriority w:val="1"/>
    <w:qFormat/>
    <w:rsid w:val="00D70D6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semiHidden/>
    <w:unhideWhenUsed/>
    <w:rsid w:val="00D118D2"/>
  </w:style>
  <w:style w:type="paragraph" w:styleId="a4">
    <w:name w:val="header"/>
    <w:basedOn w:val="a"/>
    <w:link w:val="a5"/>
    <w:uiPriority w:val="99"/>
    <w:unhideWhenUsed/>
    <w:rsid w:val="00D118D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118D2"/>
  </w:style>
  <w:style w:type="paragraph" w:styleId="a6">
    <w:name w:val="footer"/>
    <w:basedOn w:val="a"/>
    <w:link w:val="a7"/>
    <w:uiPriority w:val="99"/>
    <w:unhideWhenUsed/>
    <w:rsid w:val="00D118D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118D2"/>
  </w:style>
  <w:style w:type="paragraph" w:styleId="a8">
    <w:name w:val="List Paragraph"/>
    <w:basedOn w:val="a"/>
    <w:uiPriority w:val="34"/>
    <w:qFormat/>
    <w:rsid w:val="005316B5"/>
    <w:pPr>
      <w:ind w:left="720"/>
      <w:contextualSpacing/>
    </w:pPr>
  </w:style>
  <w:style w:type="paragraph" w:styleId="a9">
    <w:name w:val="Balloon Text"/>
    <w:basedOn w:val="a"/>
    <w:link w:val="aa"/>
    <w:uiPriority w:val="99"/>
    <w:semiHidden/>
    <w:unhideWhenUsed/>
    <w:rsid w:val="000258C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258CD"/>
    <w:rPr>
      <w:rFonts w:ascii="Segoe UI" w:hAnsi="Segoe UI" w:cs="Segoe UI"/>
      <w:sz w:val="18"/>
      <w:szCs w:val="18"/>
    </w:rPr>
  </w:style>
  <w:style w:type="paragraph" w:styleId="ab">
    <w:name w:val="No Spacing"/>
    <w:uiPriority w:val="1"/>
    <w:qFormat/>
    <w:rsid w:val="00D70D6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0219">
      <w:bodyDiv w:val="1"/>
      <w:marLeft w:val="0"/>
      <w:marRight w:val="0"/>
      <w:marTop w:val="0"/>
      <w:marBottom w:val="0"/>
      <w:divBdr>
        <w:top w:val="none" w:sz="0" w:space="0" w:color="auto"/>
        <w:left w:val="none" w:sz="0" w:space="0" w:color="auto"/>
        <w:bottom w:val="none" w:sz="0" w:space="0" w:color="auto"/>
        <w:right w:val="none" w:sz="0" w:space="0" w:color="auto"/>
      </w:divBdr>
    </w:div>
    <w:div w:id="870532300">
      <w:bodyDiv w:val="1"/>
      <w:marLeft w:val="0"/>
      <w:marRight w:val="0"/>
      <w:marTop w:val="0"/>
      <w:marBottom w:val="0"/>
      <w:divBdr>
        <w:top w:val="none" w:sz="0" w:space="0" w:color="auto"/>
        <w:left w:val="none" w:sz="0" w:space="0" w:color="auto"/>
        <w:bottom w:val="none" w:sz="0" w:space="0" w:color="auto"/>
        <w:right w:val="none" w:sz="0" w:space="0" w:color="auto"/>
      </w:divBdr>
    </w:div>
    <w:div w:id="190225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8F604-B20F-406F-A923-78A156622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5597</Words>
  <Characters>31905</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2019-12-18T08:08:00Z</cp:lastPrinted>
  <dcterms:created xsi:type="dcterms:W3CDTF">2020-02-28T05:24:00Z</dcterms:created>
  <dcterms:modified xsi:type="dcterms:W3CDTF">2020-02-28T05:24:00Z</dcterms:modified>
</cp:coreProperties>
</file>